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21920" w14:textId="2D79F5D6" w:rsidR="000C22F8" w:rsidRPr="000C22F8" w:rsidRDefault="000C22F8" w:rsidP="000C22F8">
      <w:pPr>
        <w:jc w:val="both"/>
        <w:rPr>
          <w:rFonts w:ascii="Century Gothic" w:hAnsi="Century Gothic"/>
          <w:b/>
          <w:bCs/>
          <w:sz w:val="24"/>
          <w:szCs w:val="24"/>
        </w:rPr>
      </w:pPr>
      <w:r w:rsidRPr="000C22F8">
        <w:rPr>
          <w:rFonts w:ascii="Century Gothic" w:hAnsi="Century Gothic"/>
          <w:b/>
          <w:bCs/>
          <w:sz w:val="24"/>
          <w:szCs w:val="24"/>
        </w:rPr>
        <w:t>REFERENDUM 2025 - MODALITÀ DI VOTO DEGLI ELETTORI FUORI SEDE</w:t>
      </w:r>
    </w:p>
    <w:p w14:paraId="30AAC28F" w14:textId="7CAD92B4" w:rsidR="000C22F8" w:rsidRPr="000C22F8" w:rsidRDefault="000C22F8" w:rsidP="000C22F8">
      <w:pPr>
        <w:jc w:val="both"/>
        <w:rPr>
          <w:rFonts w:ascii="Century Gothic" w:hAnsi="Century Gothic"/>
          <w:sz w:val="24"/>
          <w:szCs w:val="24"/>
        </w:rPr>
      </w:pPr>
      <w:r w:rsidRPr="000C22F8">
        <w:rPr>
          <w:rFonts w:ascii="Century Gothic" w:hAnsi="Century Gothic"/>
          <w:sz w:val="24"/>
          <w:szCs w:val="24"/>
        </w:rPr>
        <w:t>In occasione delle</w:t>
      </w:r>
      <w:r>
        <w:rPr>
          <w:rFonts w:ascii="Century Gothic" w:hAnsi="Century Gothic"/>
          <w:sz w:val="24"/>
          <w:szCs w:val="24"/>
        </w:rPr>
        <w:t xml:space="preserve"> </w:t>
      </w:r>
      <w:r w:rsidRPr="000C22F8">
        <w:rPr>
          <w:rFonts w:ascii="Century Gothic" w:hAnsi="Century Gothic"/>
          <w:sz w:val="24"/>
          <w:szCs w:val="24"/>
        </w:rPr>
        <w:t>consultazioni referendarie relative all’anno 2025, gli elettori che per motivi di</w:t>
      </w:r>
      <w:r>
        <w:rPr>
          <w:rFonts w:ascii="Century Gothic" w:hAnsi="Century Gothic"/>
          <w:sz w:val="24"/>
          <w:szCs w:val="24"/>
        </w:rPr>
        <w:t xml:space="preserve"> </w:t>
      </w:r>
      <w:r w:rsidRPr="000C22F8">
        <w:rPr>
          <w:rFonts w:ascii="Century Gothic" w:hAnsi="Century Gothic"/>
          <w:b/>
          <w:bCs/>
          <w:sz w:val="24"/>
          <w:szCs w:val="24"/>
        </w:rPr>
        <w:t>studio</w:t>
      </w:r>
      <w:r w:rsidRPr="000C22F8">
        <w:rPr>
          <w:rFonts w:ascii="Century Gothic" w:hAnsi="Century Gothic"/>
          <w:sz w:val="24"/>
          <w:szCs w:val="24"/>
        </w:rPr>
        <w:t>,</w:t>
      </w:r>
      <w:r>
        <w:rPr>
          <w:rFonts w:ascii="Century Gothic" w:hAnsi="Century Gothic"/>
          <w:b/>
          <w:bCs/>
          <w:sz w:val="24"/>
          <w:szCs w:val="24"/>
        </w:rPr>
        <w:t xml:space="preserve"> </w:t>
      </w:r>
      <w:r w:rsidRPr="000C22F8">
        <w:rPr>
          <w:rFonts w:ascii="Century Gothic" w:hAnsi="Century Gothic"/>
          <w:b/>
          <w:bCs/>
          <w:sz w:val="24"/>
          <w:szCs w:val="24"/>
        </w:rPr>
        <w:t>lavoro</w:t>
      </w:r>
      <w:r>
        <w:rPr>
          <w:rFonts w:ascii="Century Gothic" w:hAnsi="Century Gothic"/>
          <w:sz w:val="24"/>
          <w:szCs w:val="24"/>
        </w:rPr>
        <w:t xml:space="preserve"> </w:t>
      </w:r>
      <w:r w:rsidRPr="000C22F8">
        <w:rPr>
          <w:rFonts w:ascii="Century Gothic" w:hAnsi="Century Gothic"/>
          <w:sz w:val="24"/>
          <w:szCs w:val="24"/>
        </w:rPr>
        <w:t>o</w:t>
      </w:r>
      <w:r>
        <w:rPr>
          <w:rFonts w:ascii="Century Gothic" w:hAnsi="Century Gothic"/>
          <w:b/>
          <w:bCs/>
          <w:sz w:val="24"/>
          <w:szCs w:val="24"/>
        </w:rPr>
        <w:t xml:space="preserve"> </w:t>
      </w:r>
      <w:r w:rsidRPr="000C22F8">
        <w:rPr>
          <w:rFonts w:ascii="Century Gothic" w:hAnsi="Century Gothic"/>
          <w:b/>
          <w:bCs/>
          <w:sz w:val="24"/>
          <w:szCs w:val="24"/>
        </w:rPr>
        <w:t>cure mediche</w:t>
      </w:r>
      <w:r>
        <w:rPr>
          <w:rFonts w:ascii="Century Gothic" w:hAnsi="Century Gothic"/>
          <w:sz w:val="24"/>
          <w:szCs w:val="24"/>
        </w:rPr>
        <w:t xml:space="preserve"> </w:t>
      </w:r>
      <w:r w:rsidRPr="000C22F8">
        <w:rPr>
          <w:rFonts w:ascii="Century Gothic" w:hAnsi="Century Gothic"/>
          <w:sz w:val="24"/>
          <w:szCs w:val="24"/>
        </w:rPr>
        <w:t xml:space="preserve">sono temporaneamente domiciliati, per un periodo di almeno tre mesi nel quale ricade la data di svolgimento delle </w:t>
      </w:r>
      <w:proofErr w:type="gramStart"/>
      <w:r w:rsidRPr="000C22F8">
        <w:rPr>
          <w:rFonts w:ascii="Century Gothic" w:hAnsi="Century Gothic"/>
          <w:sz w:val="24"/>
          <w:szCs w:val="24"/>
        </w:rPr>
        <w:t>predette</w:t>
      </w:r>
      <w:proofErr w:type="gramEnd"/>
      <w:r w:rsidRPr="000C22F8">
        <w:rPr>
          <w:rFonts w:ascii="Century Gothic" w:hAnsi="Century Gothic"/>
          <w:sz w:val="24"/>
          <w:szCs w:val="24"/>
        </w:rPr>
        <w:t xml:space="preserve"> consultazioni referendarie, in un comune situato in una provincia diversa da quella in cui si trova il comune nelle cui liste elettorali sono iscritti, di seguito denominati elettori fuori sede, possono esercitare il diritto di voto. </w:t>
      </w:r>
    </w:p>
    <w:p w14:paraId="21F6AAF0" w14:textId="2E916675" w:rsidR="000C22F8" w:rsidRPr="000C22F8" w:rsidRDefault="000C22F8" w:rsidP="000C22F8">
      <w:pPr>
        <w:jc w:val="both"/>
        <w:rPr>
          <w:rFonts w:ascii="Century Gothic" w:hAnsi="Century Gothic"/>
          <w:sz w:val="24"/>
          <w:szCs w:val="24"/>
        </w:rPr>
      </w:pPr>
      <w:r w:rsidRPr="000C22F8">
        <w:rPr>
          <w:rFonts w:ascii="Century Gothic" w:hAnsi="Century Gothic"/>
          <w:b/>
          <w:bCs/>
          <w:sz w:val="24"/>
          <w:szCs w:val="24"/>
        </w:rPr>
        <w:t>Gli elettori fuori sede possono presentare personalmente domanda, o</w:t>
      </w:r>
      <w:r>
        <w:rPr>
          <w:rFonts w:ascii="Century Gothic" w:hAnsi="Century Gothic"/>
          <w:b/>
          <w:bCs/>
          <w:sz w:val="24"/>
          <w:szCs w:val="24"/>
        </w:rPr>
        <w:t xml:space="preserve"> </w:t>
      </w:r>
      <w:r w:rsidRPr="000C22F8">
        <w:rPr>
          <w:rFonts w:ascii="Century Gothic" w:hAnsi="Century Gothic"/>
          <w:b/>
          <w:bCs/>
          <w:sz w:val="24"/>
          <w:szCs w:val="24"/>
        </w:rPr>
        <w:t>tramite persona delegata,</w:t>
      </w:r>
      <w:r>
        <w:rPr>
          <w:rFonts w:ascii="Century Gothic" w:hAnsi="Century Gothic"/>
          <w:b/>
          <w:bCs/>
          <w:sz w:val="24"/>
          <w:szCs w:val="24"/>
        </w:rPr>
        <w:t xml:space="preserve"> </w:t>
      </w:r>
      <w:r w:rsidRPr="000C22F8">
        <w:rPr>
          <w:rFonts w:ascii="Century Gothic" w:hAnsi="Century Gothic"/>
          <w:b/>
          <w:bCs/>
          <w:sz w:val="24"/>
          <w:szCs w:val="24"/>
        </w:rPr>
        <w:t>al comune ove sono temporaneamente domiciliati</w:t>
      </w:r>
      <w:r>
        <w:rPr>
          <w:rFonts w:ascii="Century Gothic" w:hAnsi="Century Gothic"/>
          <w:sz w:val="24"/>
          <w:szCs w:val="24"/>
        </w:rPr>
        <w:t xml:space="preserve"> </w:t>
      </w:r>
      <w:r w:rsidRPr="000C22F8">
        <w:rPr>
          <w:rFonts w:ascii="Century Gothic" w:hAnsi="Century Gothic"/>
          <w:sz w:val="24"/>
          <w:szCs w:val="24"/>
        </w:rPr>
        <w:t>per l’ammissione al voto nel medesimo comune compilando il modulo in allegato.</w:t>
      </w:r>
    </w:p>
    <w:p w14:paraId="6186AB83" w14:textId="77777777" w:rsidR="000C22F8" w:rsidRDefault="000C22F8" w:rsidP="000C22F8">
      <w:pPr>
        <w:rPr>
          <w:rFonts w:ascii="Century Gothic" w:hAnsi="Century Gothic"/>
          <w:b/>
          <w:bCs/>
          <w:sz w:val="24"/>
          <w:szCs w:val="24"/>
        </w:rPr>
      </w:pPr>
      <w:r w:rsidRPr="000C22F8">
        <w:rPr>
          <w:rFonts w:ascii="Century Gothic" w:hAnsi="Century Gothic"/>
          <w:b/>
          <w:bCs/>
          <w:sz w:val="24"/>
          <w:szCs w:val="24"/>
        </w:rPr>
        <w:t>MODALITA’ DI PRESENTAZIONE</w:t>
      </w:r>
    </w:p>
    <w:p w14:paraId="142CB106" w14:textId="77777777" w:rsidR="000C22F8" w:rsidRPr="000C22F8" w:rsidRDefault="000C22F8" w:rsidP="000C22F8">
      <w:pPr>
        <w:jc w:val="both"/>
        <w:rPr>
          <w:rFonts w:ascii="Century Gothic" w:hAnsi="Century Gothic"/>
          <w:b/>
          <w:bCs/>
          <w:sz w:val="24"/>
          <w:szCs w:val="24"/>
        </w:rPr>
      </w:pPr>
      <w:r w:rsidRPr="000C22F8">
        <w:rPr>
          <w:rFonts w:ascii="Century Gothic" w:hAnsi="Century Gothic"/>
          <w:sz w:val="24"/>
          <w:szCs w:val="24"/>
        </w:rPr>
        <w:t>La domanda può essere presentata al Comune entro</w:t>
      </w:r>
      <w:r>
        <w:rPr>
          <w:rFonts w:ascii="Century Gothic" w:hAnsi="Century Gothic"/>
          <w:sz w:val="24"/>
          <w:szCs w:val="24"/>
        </w:rPr>
        <w:t xml:space="preserve"> </w:t>
      </w:r>
      <w:r w:rsidRPr="000C22F8">
        <w:rPr>
          <w:rFonts w:ascii="Century Gothic" w:hAnsi="Century Gothic"/>
          <w:b/>
          <w:bCs/>
          <w:sz w:val="24"/>
          <w:szCs w:val="24"/>
        </w:rPr>
        <w:t>domenica 4 maggio</w:t>
      </w:r>
      <w:r>
        <w:rPr>
          <w:rFonts w:ascii="Century Gothic" w:hAnsi="Century Gothic"/>
          <w:sz w:val="24"/>
          <w:szCs w:val="24"/>
        </w:rPr>
        <w:t xml:space="preserve"> </w:t>
      </w:r>
      <w:r w:rsidRPr="000C22F8">
        <w:rPr>
          <w:rFonts w:ascii="Century Gothic" w:hAnsi="Century Gothic"/>
          <w:sz w:val="24"/>
          <w:szCs w:val="24"/>
        </w:rPr>
        <w:t>(trentacinque giorni prima della data prevista per lo svolgimento della consultazione):</w:t>
      </w:r>
      <w:r w:rsidRPr="000C22F8">
        <w:rPr>
          <w:rFonts w:ascii="Century Gothic" w:hAnsi="Century Gothic"/>
          <w:sz w:val="24"/>
          <w:szCs w:val="24"/>
        </w:rPr>
        <w:br/>
      </w:r>
    </w:p>
    <w:p w14:paraId="72A12C74" w14:textId="51DAEFE9" w:rsidR="000C22F8" w:rsidRPr="000C22F8" w:rsidRDefault="000C22F8" w:rsidP="000C22F8">
      <w:pPr>
        <w:pStyle w:val="Paragrafoelenco"/>
        <w:numPr>
          <w:ilvl w:val="0"/>
          <w:numId w:val="2"/>
        </w:numPr>
        <w:jc w:val="both"/>
        <w:rPr>
          <w:rFonts w:ascii="Century Gothic" w:hAnsi="Century Gothic"/>
          <w:b/>
          <w:bCs/>
          <w:sz w:val="24"/>
          <w:szCs w:val="24"/>
        </w:rPr>
      </w:pPr>
      <w:r w:rsidRPr="000C22F8">
        <w:rPr>
          <w:rFonts w:ascii="Century Gothic" w:hAnsi="Century Gothic"/>
          <w:b/>
          <w:bCs/>
          <w:sz w:val="24"/>
          <w:szCs w:val="24"/>
        </w:rPr>
        <w:t xml:space="preserve">direttamente presso </w:t>
      </w:r>
      <w:r w:rsidRPr="000C22F8">
        <w:rPr>
          <w:rFonts w:ascii="Century Gothic" w:hAnsi="Century Gothic"/>
          <w:b/>
          <w:bCs/>
          <w:sz w:val="24"/>
          <w:szCs w:val="24"/>
        </w:rPr>
        <w:t xml:space="preserve">l’Ufficio Protocollo del Comune di </w:t>
      </w:r>
      <w:proofErr w:type="gramStart"/>
      <w:r w:rsidRPr="000C22F8">
        <w:rPr>
          <w:rFonts w:ascii="Century Gothic" w:hAnsi="Century Gothic"/>
          <w:b/>
          <w:bCs/>
          <w:sz w:val="24"/>
          <w:szCs w:val="24"/>
        </w:rPr>
        <w:t>Bresso  da</w:t>
      </w:r>
      <w:proofErr w:type="gramEnd"/>
      <w:r w:rsidRPr="000C22F8">
        <w:rPr>
          <w:rFonts w:ascii="Century Gothic" w:hAnsi="Century Gothic"/>
          <w:b/>
          <w:bCs/>
          <w:sz w:val="24"/>
          <w:szCs w:val="24"/>
        </w:rPr>
        <w:t xml:space="preserve"> lunedì a venerdì dalle 9 alle 12 e martedì/giovedì dalle 15 alle 18 </w:t>
      </w:r>
    </w:p>
    <w:p w14:paraId="78627089" w14:textId="01D6B69D" w:rsidR="000C22F8" w:rsidRPr="000C22F8" w:rsidRDefault="000C22F8" w:rsidP="000C22F8">
      <w:pPr>
        <w:pStyle w:val="Paragrafoelenco"/>
        <w:numPr>
          <w:ilvl w:val="0"/>
          <w:numId w:val="2"/>
        </w:numPr>
        <w:jc w:val="both"/>
        <w:rPr>
          <w:rFonts w:ascii="Century Gothic" w:hAnsi="Century Gothic"/>
          <w:b/>
          <w:bCs/>
          <w:sz w:val="24"/>
          <w:szCs w:val="24"/>
        </w:rPr>
      </w:pPr>
      <w:r w:rsidRPr="000C22F8">
        <w:rPr>
          <w:rFonts w:ascii="Century Gothic" w:hAnsi="Century Gothic"/>
          <w:b/>
          <w:bCs/>
          <w:sz w:val="24"/>
          <w:szCs w:val="24"/>
        </w:rPr>
        <w:t xml:space="preserve">via </w:t>
      </w:r>
      <w:proofErr w:type="gramStart"/>
      <w:r w:rsidRPr="000C22F8">
        <w:rPr>
          <w:rFonts w:ascii="Century Gothic" w:hAnsi="Century Gothic"/>
          <w:b/>
          <w:bCs/>
          <w:sz w:val="24"/>
          <w:szCs w:val="24"/>
        </w:rPr>
        <w:t>email</w:t>
      </w:r>
      <w:proofErr w:type="gramEnd"/>
      <w:r w:rsidRPr="000C22F8">
        <w:rPr>
          <w:rFonts w:ascii="Century Gothic" w:hAnsi="Century Gothic"/>
          <w:b/>
          <w:bCs/>
          <w:sz w:val="24"/>
          <w:szCs w:val="24"/>
        </w:rPr>
        <w:t xml:space="preserve">: </w:t>
      </w:r>
      <w:proofErr w:type="gramStart"/>
      <w:r w:rsidRPr="000C22F8">
        <w:rPr>
          <w:rFonts w:ascii="Century Gothic" w:hAnsi="Century Gothic"/>
          <w:b/>
          <w:bCs/>
          <w:sz w:val="24"/>
          <w:szCs w:val="24"/>
        </w:rPr>
        <w:t>ufficio,elettorale</w:t>
      </w:r>
      <w:r w:rsidRPr="000C22F8">
        <w:rPr>
          <w:rFonts w:ascii="Century Gothic" w:hAnsi="Century Gothic"/>
          <w:b/>
          <w:bCs/>
          <w:sz w:val="24"/>
          <w:szCs w:val="24"/>
        </w:rPr>
        <w:t>@</w:t>
      </w:r>
      <w:r w:rsidRPr="000C22F8">
        <w:rPr>
          <w:rFonts w:ascii="Century Gothic" w:hAnsi="Century Gothic"/>
          <w:b/>
          <w:bCs/>
          <w:sz w:val="24"/>
          <w:szCs w:val="24"/>
        </w:rPr>
        <w:t>bresso.net</w:t>
      </w:r>
      <w:proofErr w:type="gramEnd"/>
    </w:p>
    <w:p w14:paraId="0F087B81" w14:textId="3D5EC0E1" w:rsidR="000C22F8" w:rsidRPr="000C22F8" w:rsidRDefault="000C22F8" w:rsidP="000C22F8">
      <w:pPr>
        <w:pStyle w:val="Paragrafoelenco"/>
        <w:numPr>
          <w:ilvl w:val="0"/>
          <w:numId w:val="2"/>
        </w:numPr>
        <w:jc w:val="both"/>
        <w:rPr>
          <w:rFonts w:ascii="Century Gothic" w:hAnsi="Century Gothic"/>
          <w:b/>
          <w:bCs/>
          <w:sz w:val="24"/>
          <w:szCs w:val="24"/>
        </w:rPr>
      </w:pPr>
      <w:r w:rsidRPr="000C22F8">
        <w:rPr>
          <w:rFonts w:ascii="Century Gothic" w:hAnsi="Century Gothic"/>
          <w:b/>
          <w:bCs/>
          <w:sz w:val="24"/>
          <w:szCs w:val="24"/>
        </w:rPr>
        <w:t>via PEC all’indirizzo:</w:t>
      </w:r>
      <w:r w:rsidRPr="000C22F8">
        <w:rPr>
          <w:rFonts w:ascii="Century Gothic" w:hAnsi="Century Gothic"/>
          <w:b/>
          <w:bCs/>
          <w:sz w:val="24"/>
          <w:szCs w:val="24"/>
        </w:rPr>
        <w:t xml:space="preserve"> comune.bresso</w:t>
      </w:r>
      <w:r w:rsidRPr="000C22F8">
        <w:rPr>
          <w:rFonts w:ascii="Century Gothic" w:hAnsi="Century Gothic"/>
          <w:b/>
          <w:bCs/>
          <w:sz w:val="24"/>
          <w:szCs w:val="24"/>
        </w:rPr>
        <w:t>@</w:t>
      </w:r>
      <w:r w:rsidRPr="000C22F8">
        <w:rPr>
          <w:rFonts w:ascii="Century Gothic" w:hAnsi="Century Gothic"/>
          <w:b/>
          <w:bCs/>
          <w:sz w:val="24"/>
          <w:szCs w:val="24"/>
        </w:rPr>
        <w:t>legalmail.it</w:t>
      </w:r>
    </w:p>
    <w:p w14:paraId="4B3D612B" w14:textId="77777777" w:rsidR="000C22F8" w:rsidRDefault="000C22F8" w:rsidP="000C22F8">
      <w:pPr>
        <w:jc w:val="both"/>
        <w:rPr>
          <w:rFonts w:ascii="Century Gothic" w:hAnsi="Century Gothic"/>
          <w:sz w:val="24"/>
          <w:szCs w:val="24"/>
        </w:rPr>
      </w:pPr>
      <w:r w:rsidRPr="000C22F8">
        <w:rPr>
          <w:rFonts w:ascii="Century Gothic" w:hAnsi="Century Gothic"/>
          <w:b/>
          <w:bCs/>
          <w:sz w:val="24"/>
          <w:szCs w:val="24"/>
        </w:rPr>
        <w:t>Con i seguenti allegati</w:t>
      </w:r>
      <w:r w:rsidRPr="000C22F8">
        <w:rPr>
          <w:rFonts w:ascii="Century Gothic" w:hAnsi="Century Gothic"/>
          <w:sz w:val="24"/>
          <w:szCs w:val="24"/>
        </w:rPr>
        <w:t>:</w:t>
      </w:r>
    </w:p>
    <w:p w14:paraId="5A1E18D7" w14:textId="77777777" w:rsidR="000C22F8" w:rsidRDefault="000C22F8" w:rsidP="000C22F8">
      <w:pPr>
        <w:pStyle w:val="Paragrafoelenco"/>
        <w:numPr>
          <w:ilvl w:val="0"/>
          <w:numId w:val="2"/>
        </w:numPr>
        <w:jc w:val="both"/>
        <w:rPr>
          <w:rFonts w:ascii="Century Gothic" w:hAnsi="Century Gothic"/>
          <w:sz w:val="24"/>
          <w:szCs w:val="24"/>
        </w:rPr>
      </w:pPr>
      <w:r w:rsidRPr="000C22F8">
        <w:rPr>
          <w:rFonts w:ascii="Century Gothic" w:hAnsi="Century Gothic"/>
          <w:sz w:val="24"/>
          <w:szCs w:val="24"/>
        </w:rPr>
        <w:t>copia di un documento di riconoscimento in corso di validità</w:t>
      </w:r>
    </w:p>
    <w:p w14:paraId="6A5F4337" w14:textId="77777777" w:rsidR="000C22F8" w:rsidRDefault="000C22F8" w:rsidP="000C22F8">
      <w:pPr>
        <w:pStyle w:val="Paragrafoelenco"/>
        <w:numPr>
          <w:ilvl w:val="0"/>
          <w:numId w:val="2"/>
        </w:numPr>
        <w:jc w:val="both"/>
        <w:rPr>
          <w:rFonts w:ascii="Century Gothic" w:hAnsi="Century Gothic"/>
          <w:sz w:val="24"/>
          <w:szCs w:val="24"/>
        </w:rPr>
      </w:pPr>
      <w:r w:rsidRPr="000C22F8">
        <w:rPr>
          <w:rFonts w:ascii="Century Gothic" w:hAnsi="Century Gothic"/>
          <w:sz w:val="24"/>
          <w:szCs w:val="24"/>
        </w:rPr>
        <w:t>copia della tessera elettorale personale</w:t>
      </w:r>
    </w:p>
    <w:p w14:paraId="54B68FB9" w14:textId="77777777" w:rsidR="000C22F8" w:rsidRPr="000C22F8" w:rsidRDefault="000C22F8" w:rsidP="000C22F8">
      <w:pPr>
        <w:pStyle w:val="Paragrafoelenco"/>
        <w:numPr>
          <w:ilvl w:val="0"/>
          <w:numId w:val="2"/>
        </w:numPr>
        <w:jc w:val="both"/>
        <w:rPr>
          <w:rFonts w:ascii="Century Gothic" w:hAnsi="Century Gothic"/>
          <w:sz w:val="24"/>
          <w:szCs w:val="24"/>
        </w:rPr>
      </w:pPr>
      <w:r w:rsidRPr="000C22F8">
        <w:rPr>
          <w:rFonts w:ascii="Century Gothic" w:hAnsi="Century Gothic"/>
          <w:sz w:val="24"/>
          <w:szCs w:val="24"/>
        </w:rPr>
        <w:t>copia della certificazione o di altra documentazione attestante la condizione di elettore fuori sede ovvero la documentazione attestante le motivazioni di studio, lavoro o cure mediche per le quali l’elettore si trova temporaneamente domiciliato in un comune ubicato in una provincia diversa da quella del comune di residenza. La condizione di lavoratore, studente o sottoposto a cure mediche può essere autocertificata ai sensi degli artt. 46 e 47 del D.P.R. 28 dicembre 2000, n. 445.</w:t>
      </w:r>
      <w:r w:rsidRPr="000C22F8">
        <w:rPr>
          <w:rFonts w:ascii="Century Gothic" w:hAnsi="Century Gothic"/>
          <w:sz w:val="24"/>
          <w:szCs w:val="24"/>
        </w:rPr>
        <w:br/>
      </w:r>
    </w:p>
    <w:p w14:paraId="5376ADD3" w14:textId="2CD3CEF0" w:rsidR="000C22F8" w:rsidRPr="000C22F8" w:rsidRDefault="000C22F8" w:rsidP="000C22F8">
      <w:pPr>
        <w:pStyle w:val="Paragrafoelenco"/>
        <w:jc w:val="both"/>
        <w:rPr>
          <w:rFonts w:ascii="Century Gothic" w:hAnsi="Century Gothic"/>
          <w:sz w:val="24"/>
          <w:szCs w:val="24"/>
        </w:rPr>
      </w:pPr>
      <w:proofErr w:type="gramStart"/>
      <w:r w:rsidRPr="000C22F8">
        <w:rPr>
          <w:rFonts w:ascii="Century Gothic" w:hAnsi="Century Gothic"/>
          <w:b/>
          <w:bCs/>
          <w:sz w:val="24"/>
          <w:szCs w:val="24"/>
        </w:rPr>
        <w:t>E’</w:t>
      </w:r>
      <w:proofErr w:type="gramEnd"/>
      <w:r w:rsidRPr="000C22F8">
        <w:rPr>
          <w:rFonts w:ascii="Century Gothic" w:hAnsi="Century Gothic"/>
          <w:b/>
          <w:bCs/>
          <w:sz w:val="24"/>
          <w:szCs w:val="24"/>
        </w:rPr>
        <w:t xml:space="preserve"> preferibile inserire un recapito telefonico per eventuali comunicazioni</w:t>
      </w:r>
      <w:r w:rsidRPr="000C22F8">
        <w:rPr>
          <w:rFonts w:ascii="Century Gothic" w:hAnsi="Century Gothic"/>
          <w:sz w:val="24"/>
          <w:szCs w:val="24"/>
        </w:rPr>
        <w:t>.</w:t>
      </w:r>
    </w:p>
    <w:p w14:paraId="2D4B87D4" w14:textId="77777777" w:rsidR="000C22F8" w:rsidRDefault="000C22F8" w:rsidP="000C22F8">
      <w:pPr>
        <w:jc w:val="both"/>
        <w:rPr>
          <w:rFonts w:ascii="Century Gothic" w:hAnsi="Century Gothic"/>
          <w:b/>
          <w:bCs/>
          <w:sz w:val="24"/>
          <w:szCs w:val="24"/>
        </w:rPr>
      </w:pPr>
      <w:r w:rsidRPr="000C22F8">
        <w:rPr>
          <w:rFonts w:ascii="Century Gothic" w:hAnsi="Century Gothic"/>
          <w:b/>
          <w:bCs/>
          <w:sz w:val="24"/>
          <w:szCs w:val="24"/>
        </w:rPr>
        <w:t>POSSIBILITA’ DI REVOCA DELLA DOMANDA</w:t>
      </w:r>
    </w:p>
    <w:p w14:paraId="0AF746B5" w14:textId="2334263C" w:rsidR="000C22F8" w:rsidRPr="000C22F8" w:rsidRDefault="000C22F8" w:rsidP="000C22F8">
      <w:pPr>
        <w:jc w:val="both"/>
        <w:rPr>
          <w:rFonts w:ascii="Century Gothic" w:hAnsi="Century Gothic"/>
          <w:sz w:val="24"/>
          <w:szCs w:val="24"/>
        </w:rPr>
      </w:pPr>
      <w:r w:rsidRPr="000C22F8">
        <w:rPr>
          <w:rFonts w:ascii="Century Gothic" w:hAnsi="Century Gothic"/>
          <w:sz w:val="24"/>
          <w:szCs w:val="24"/>
        </w:rPr>
        <w:t>La domanda di voto come elettore fuori sede può essere revocata</w:t>
      </w:r>
      <w:r>
        <w:rPr>
          <w:rFonts w:ascii="Century Gothic" w:hAnsi="Century Gothic"/>
          <w:sz w:val="24"/>
          <w:szCs w:val="24"/>
        </w:rPr>
        <w:t xml:space="preserve"> </w:t>
      </w:r>
      <w:r w:rsidRPr="000C22F8">
        <w:rPr>
          <w:rFonts w:ascii="Century Gothic" w:hAnsi="Century Gothic"/>
          <w:b/>
          <w:bCs/>
          <w:sz w:val="24"/>
          <w:szCs w:val="24"/>
        </w:rPr>
        <w:t>entro il 14 maggio 2025.</w:t>
      </w:r>
    </w:p>
    <w:p w14:paraId="6CD01825" w14:textId="77777777" w:rsidR="00C97337" w:rsidRDefault="00C97337"/>
    <w:sectPr w:rsidR="00C973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5F89F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5" type="#_x0000_t75" alt="-" style="width:6pt;height:8.25pt;visibility:visible;mso-wrap-style:square">
            <v:imagedata r:id="rId1" o:title="-"/>
          </v:shape>
        </w:pict>
      </mc:Choice>
      <mc:Fallback>
        <w:drawing>
          <wp:inline distT="0" distB="0" distL="0" distR="0" wp14:anchorId="53454DF7" wp14:editId="24CCEEA0">
            <wp:extent cx="76200" cy="104775"/>
            <wp:effectExtent l="0" t="0" r="0" b="9525"/>
            <wp:docPr id="1283918521"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mc:Fallback>
    </mc:AlternateContent>
  </w:numPicBullet>
  <w:abstractNum w:abstractNumId="0" w15:restartNumberingAfterBreak="0">
    <w:nsid w:val="30D10E07"/>
    <w:multiLevelType w:val="hybridMultilevel"/>
    <w:tmpl w:val="B210BD36"/>
    <w:lvl w:ilvl="0" w:tplc="764CC7D4">
      <w:start w:val="1"/>
      <w:numFmt w:val="bullet"/>
      <w:lvlText w:val=""/>
      <w:lvlPicBulletId w:val="0"/>
      <w:lvlJc w:val="left"/>
      <w:pPr>
        <w:tabs>
          <w:tab w:val="num" w:pos="720"/>
        </w:tabs>
        <w:ind w:left="720" w:hanging="360"/>
      </w:pPr>
      <w:rPr>
        <w:rFonts w:ascii="Symbol" w:hAnsi="Symbol" w:hint="default"/>
      </w:rPr>
    </w:lvl>
    <w:lvl w:ilvl="1" w:tplc="A0CA0DE0" w:tentative="1">
      <w:start w:val="1"/>
      <w:numFmt w:val="bullet"/>
      <w:lvlText w:val=""/>
      <w:lvlJc w:val="left"/>
      <w:pPr>
        <w:tabs>
          <w:tab w:val="num" w:pos="1440"/>
        </w:tabs>
        <w:ind w:left="1440" w:hanging="360"/>
      </w:pPr>
      <w:rPr>
        <w:rFonts w:ascii="Symbol" w:hAnsi="Symbol" w:hint="default"/>
      </w:rPr>
    </w:lvl>
    <w:lvl w:ilvl="2" w:tplc="BB007392" w:tentative="1">
      <w:start w:val="1"/>
      <w:numFmt w:val="bullet"/>
      <w:lvlText w:val=""/>
      <w:lvlJc w:val="left"/>
      <w:pPr>
        <w:tabs>
          <w:tab w:val="num" w:pos="2160"/>
        </w:tabs>
        <w:ind w:left="2160" w:hanging="360"/>
      </w:pPr>
      <w:rPr>
        <w:rFonts w:ascii="Symbol" w:hAnsi="Symbol" w:hint="default"/>
      </w:rPr>
    </w:lvl>
    <w:lvl w:ilvl="3" w:tplc="1AE07AA6" w:tentative="1">
      <w:start w:val="1"/>
      <w:numFmt w:val="bullet"/>
      <w:lvlText w:val=""/>
      <w:lvlJc w:val="left"/>
      <w:pPr>
        <w:tabs>
          <w:tab w:val="num" w:pos="2880"/>
        </w:tabs>
        <w:ind w:left="2880" w:hanging="360"/>
      </w:pPr>
      <w:rPr>
        <w:rFonts w:ascii="Symbol" w:hAnsi="Symbol" w:hint="default"/>
      </w:rPr>
    </w:lvl>
    <w:lvl w:ilvl="4" w:tplc="D296584A" w:tentative="1">
      <w:start w:val="1"/>
      <w:numFmt w:val="bullet"/>
      <w:lvlText w:val=""/>
      <w:lvlJc w:val="left"/>
      <w:pPr>
        <w:tabs>
          <w:tab w:val="num" w:pos="3600"/>
        </w:tabs>
        <w:ind w:left="3600" w:hanging="360"/>
      </w:pPr>
      <w:rPr>
        <w:rFonts w:ascii="Symbol" w:hAnsi="Symbol" w:hint="default"/>
      </w:rPr>
    </w:lvl>
    <w:lvl w:ilvl="5" w:tplc="61F6A4C8" w:tentative="1">
      <w:start w:val="1"/>
      <w:numFmt w:val="bullet"/>
      <w:lvlText w:val=""/>
      <w:lvlJc w:val="left"/>
      <w:pPr>
        <w:tabs>
          <w:tab w:val="num" w:pos="4320"/>
        </w:tabs>
        <w:ind w:left="4320" w:hanging="360"/>
      </w:pPr>
      <w:rPr>
        <w:rFonts w:ascii="Symbol" w:hAnsi="Symbol" w:hint="default"/>
      </w:rPr>
    </w:lvl>
    <w:lvl w:ilvl="6" w:tplc="3F62F818" w:tentative="1">
      <w:start w:val="1"/>
      <w:numFmt w:val="bullet"/>
      <w:lvlText w:val=""/>
      <w:lvlJc w:val="left"/>
      <w:pPr>
        <w:tabs>
          <w:tab w:val="num" w:pos="5040"/>
        </w:tabs>
        <w:ind w:left="5040" w:hanging="360"/>
      </w:pPr>
      <w:rPr>
        <w:rFonts w:ascii="Symbol" w:hAnsi="Symbol" w:hint="default"/>
      </w:rPr>
    </w:lvl>
    <w:lvl w:ilvl="7" w:tplc="7450A71E" w:tentative="1">
      <w:start w:val="1"/>
      <w:numFmt w:val="bullet"/>
      <w:lvlText w:val=""/>
      <w:lvlJc w:val="left"/>
      <w:pPr>
        <w:tabs>
          <w:tab w:val="num" w:pos="5760"/>
        </w:tabs>
        <w:ind w:left="5760" w:hanging="360"/>
      </w:pPr>
      <w:rPr>
        <w:rFonts w:ascii="Symbol" w:hAnsi="Symbol" w:hint="default"/>
      </w:rPr>
    </w:lvl>
    <w:lvl w:ilvl="8" w:tplc="CE5C38C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17B6696"/>
    <w:multiLevelType w:val="hybridMultilevel"/>
    <w:tmpl w:val="72D24A12"/>
    <w:lvl w:ilvl="0" w:tplc="BEFEB28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6451259">
    <w:abstractNumId w:val="0"/>
  </w:num>
  <w:num w:numId="2" w16cid:durableId="240256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F8"/>
    <w:rsid w:val="000C22F8"/>
    <w:rsid w:val="00C97337"/>
    <w:rsid w:val="00F96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EDBC"/>
  <w15:chartTrackingRefBased/>
  <w15:docId w15:val="{0D68AA92-1F7A-43E5-8862-A5E81248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C22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C22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C22F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C22F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C22F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C22F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C22F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C22F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C22F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C22F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C22F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C22F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C22F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C22F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C22F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C22F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C22F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C22F8"/>
    <w:rPr>
      <w:rFonts w:eastAsiaTheme="majorEastAsia" w:cstheme="majorBidi"/>
      <w:color w:val="272727" w:themeColor="text1" w:themeTint="D8"/>
    </w:rPr>
  </w:style>
  <w:style w:type="paragraph" w:styleId="Titolo">
    <w:name w:val="Title"/>
    <w:basedOn w:val="Normale"/>
    <w:next w:val="Normale"/>
    <w:link w:val="TitoloCarattere"/>
    <w:uiPriority w:val="10"/>
    <w:qFormat/>
    <w:rsid w:val="000C22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C22F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C22F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C22F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C22F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C22F8"/>
    <w:rPr>
      <w:i/>
      <w:iCs/>
      <w:color w:val="404040" w:themeColor="text1" w:themeTint="BF"/>
    </w:rPr>
  </w:style>
  <w:style w:type="paragraph" w:styleId="Paragrafoelenco">
    <w:name w:val="List Paragraph"/>
    <w:basedOn w:val="Normale"/>
    <w:uiPriority w:val="34"/>
    <w:qFormat/>
    <w:rsid w:val="000C22F8"/>
    <w:pPr>
      <w:ind w:left="720"/>
      <w:contextualSpacing/>
    </w:pPr>
  </w:style>
  <w:style w:type="character" w:styleId="Enfasiintensa">
    <w:name w:val="Intense Emphasis"/>
    <w:basedOn w:val="Carpredefinitoparagrafo"/>
    <w:uiPriority w:val="21"/>
    <w:qFormat/>
    <w:rsid w:val="000C22F8"/>
    <w:rPr>
      <w:i/>
      <w:iCs/>
      <w:color w:val="2F5496" w:themeColor="accent1" w:themeShade="BF"/>
    </w:rPr>
  </w:style>
  <w:style w:type="paragraph" w:styleId="Citazioneintensa">
    <w:name w:val="Intense Quote"/>
    <w:basedOn w:val="Normale"/>
    <w:next w:val="Normale"/>
    <w:link w:val="CitazioneintensaCarattere"/>
    <w:uiPriority w:val="30"/>
    <w:qFormat/>
    <w:rsid w:val="000C22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C22F8"/>
    <w:rPr>
      <w:i/>
      <w:iCs/>
      <w:color w:val="2F5496" w:themeColor="accent1" w:themeShade="BF"/>
    </w:rPr>
  </w:style>
  <w:style w:type="character" w:styleId="Riferimentointenso">
    <w:name w:val="Intense Reference"/>
    <w:basedOn w:val="Carpredefinitoparagrafo"/>
    <w:uiPriority w:val="32"/>
    <w:qFormat/>
    <w:rsid w:val="000C22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299707">
      <w:bodyDiv w:val="1"/>
      <w:marLeft w:val="0"/>
      <w:marRight w:val="0"/>
      <w:marTop w:val="0"/>
      <w:marBottom w:val="0"/>
      <w:divBdr>
        <w:top w:val="none" w:sz="0" w:space="0" w:color="auto"/>
        <w:left w:val="none" w:sz="0" w:space="0" w:color="auto"/>
        <w:bottom w:val="none" w:sz="0" w:space="0" w:color="auto"/>
        <w:right w:val="none" w:sz="0" w:space="0" w:color="auto"/>
      </w:divBdr>
      <w:divsChild>
        <w:div w:id="1461876877">
          <w:marLeft w:val="0"/>
          <w:marRight w:val="0"/>
          <w:marTop w:val="0"/>
          <w:marBottom w:val="0"/>
          <w:divBdr>
            <w:top w:val="none" w:sz="0" w:space="0" w:color="auto"/>
            <w:left w:val="none" w:sz="0" w:space="0" w:color="auto"/>
            <w:bottom w:val="none" w:sz="0" w:space="0" w:color="auto"/>
            <w:right w:val="none" w:sz="0" w:space="0" w:color="auto"/>
          </w:divBdr>
        </w:div>
        <w:div w:id="1797523742">
          <w:marLeft w:val="0"/>
          <w:marRight w:val="0"/>
          <w:marTop w:val="0"/>
          <w:marBottom w:val="0"/>
          <w:divBdr>
            <w:top w:val="none" w:sz="0" w:space="0" w:color="auto"/>
            <w:left w:val="none" w:sz="0" w:space="0" w:color="auto"/>
            <w:bottom w:val="none" w:sz="0" w:space="0" w:color="auto"/>
            <w:right w:val="none" w:sz="0" w:space="0" w:color="auto"/>
          </w:divBdr>
        </w:div>
      </w:divsChild>
    </w:div>
    <w:div w:id="1367174423">
      <w:bodyDiv w:val="1"/>
      <w:marLeft w:val="0"/>
      <w:marRight w:val="0"/>
      <w:marTop w:val="0"/>
      <w:marBottom w:val="0"/>
      <w:divBdr>
        <w:top w:val="none" w:sz="0" w:space="0" w:color="auto"/>
        <w:left w:val="none" w:sz="0" w:space="0" w:color="auto"/>
        <w:bottom w:val="none" w:sz="0" w:space="0" w:color="auto"/>
        <w:right w:val="none" w:sz="0" w:space="0" w:color="auto"/>
      </w:divBdr>
      <w:divsChild>
        <w:div w:id="697200157">
          <w:marLeft w:val="0"/>
          <w:marRight w:val="0"/>
          <w:marTop w:val="0"/>
          <w:marBottom w:val="0"/>
          <w:divBdr>
            <w:top w:val="none" w:sz="0" w:space="0" w:color="auto"/>
            <w:left w:val="none" w:sz="0" w:space="0" w:color="auto"/>
            <w:bottom w:val="none" w:sz="0" w:space="0" w:color="auto"/>
            <w:right w:val="none" w:sz="0" w:space="0" w:color="auto"/>
          </w:divBdr>
        </w:div>
        <w:div w:id="2053193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chrappan</dc:creator>
  <cp:keywords/>
  <dc:description/>
  <cp:lastModifiedBy>elena chrappan</cp:lastModifiedBy>
  <cp:revision>1</cp:revision>
  <dcterms:created xsi:type="dcterms:W3CDTF">2025-04-17T09:42:00Z</dcterms:created>
  <dcterms:modified xsi:type="dcterms:W3CDTF">2025-04-17T09:51:00Z</dcterms:modified>
</cp:coreProperties>
</file>