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F3581" w14:textId="77777777" w:rsidR="00E528A2" w:rsidRPr="00E528A2" w:rsidRDefault="00E528A2" w:rsidP="00E528A2">
      <w:pPr>
        <w:jc w:val="both"/>
        <w:rPr>
          <w:rFonts w:ascii="Century Gothic" w:hAnsi="Century Gothic"/>
          <w:sz w:val="24"/>
          <w:szCs w:val="24"/>
        </w:rPr>
      </w:pPr>
      <w:r w:rsidRPr="00E528A2">
        <w:rPr>
          <w:rFonts w:ascii="Century Gothic" w:hAnsi="Century Gothic"/>
          <w:b/>
          <w:bCs/>
          <w:sz w:val="24"/>
          <w:szCs w:val="24"/>
        </w:rPr>
        <w:t>Elettori temporaneamente residenti all’estero.</w:t>
      </w:r>
    </w:p>
    <w:p w14:paraId="2F649D69" w14:textId="15323BB8" w:rsidR="00E528A2" w:rsidRPr="00E528A2" w:rsidRDefault="00E528A2" w:rsidP="00E528A2">
      <w:pPr>
        <w:jc w:val="both"/>
        <w:rPr>
          <w:rFonts w:ascii="Century Gothic" w:hAnsi="Century Gothic"/>
          <w:sz w:val="24"/>
          <w:szCs w:val="24"/>
        </w:rPr>
      </w:pPr>
      <w:r w:rsidRPr="00E528A2">
        <w:rPr>
          <w:rFonts w:ascii="Century Gothic" w:hAnsi="Century Gothic"/>
          <w:sz w:val="24"/>
          <w:szCs w:val="24"/>
        </w:rPr>
        <w:t>L’art. 4-bis, comma 2, della legge n. 459/01, modificato da ultimo dall’articolo 6, comma 2, lett. a), della legge 3 novembre 2017, n. 165, prevede che l’opzione di voto per corrispondenza degli elettori temporaneamente all’estero pervenga direttamente</w:t>
      </w:r>
      <w:r>
        <w:rPr>
          <w:rFonts w:ascii="Century Gothic" w:hAnsi="Century Gothic"/>
          <w:sz w:val="24"/>
          <w:szCs w:val="24"/>
        </w:rPr>
        <w:t xml:space="preserve"> </w:t>
      </w:r>
      <w:r w:rsidRPr="00E528A2">
        <w:rPr>
          <w:rFonts w:ascii="Century Gothic" w:hAnsi="Century Gothic"/>
          <w:b/>
          <w:bCs/>
          <w:sz w:val="24"/>
          <w:szCs w:val="24"/>
        </w:rPr>
        <w:t>al comune d’iscrizione</w:t>
      </w:r>
      <w:r>
        <w:rPr>
          <w:rFonts w:ascii="Century Gothic" w:hAnsi="Century Gothic"/>
          <w:sz w:val="24"/>
          <w:szCs w:val="24"/>
        </w:rPr>
        <w:t xml:space="preserve"> </w:t>
      </w:r>
      <w:r w:rsidRPr="00E528A2">
        <w:rPr>
          <w:rFonts w:ascii="Century Gothic" w:hAnsi="Century Gothic"/>
          <w:sz w:val="24"/>
          <w:szCs w:val="24"/>
        </w:rPr>
        <w:t>nelle liste elettorali entro il trentaduesimo giorno antecedente la data di votazione e, quindi, </w:t>
      </w:r>
      <w:r w:rsidRPr="00E528A2">
        <w:rPr>
          <w:rFonts w:ascii="Century Gothic" w:hAnsi="Century Gothic"/>
          <w:b/>
          <w:bCs/>
          <w:sz w:val="24"/>
          <w:szCs w:val="24"/>
        </w:rPr>
        <w:t xml:space="preserve">entro il 7 maggio </w:t>
      </w:r>
      <w:proofErr w:type="gramStart"/>
      <w:r w:rsidRPr="00E528A2">
        <w:rPr>
          <w:rFonts w:ascii="Century Gothic" w:hAnsi="Century Gothic"/>
          <w:b/>
          <w:bCs/>
          <w:sz w:val="24"/>
          <w:szCs w:val="24"/>
        </w:rPr>
        <w:t>p.v. </w:t>
      </w:r>
      <w:r w:rsidRPr="00E528A2">
        <w:rPr>
          <w:rFonts w:ascii="Century Gothic" w:hAnsi="Century Gothic"/>
          <w:sz w:val="24"/>
          <w:szCs w:val="24"/>
        </w:rPr>
        <w:t>,</w:t>
      </w:r>
      <w:proofErr w:type="gramEnd"/>
      <w:r w:rsidRPr="00E528A2">
        <w:rPr>
          <w:rFonts w:ascii="Century Gothic" w:hAnsi="Century Gothic"/>
          <w:sz w:val="24"/>
          <w:szCs w:val="24"/>
        </w:rPr>
        <w:t xml:space="preserve"> in tempo utile per l’immediata comunicazione al Ministero dell’interno.</w:t>
      </w:r>
    </w:p>
    <w:p w14:paraId="41F78F40" w14:textId="77777777" w:rsidR="00E528A2" w:rsidRPr="00E528A2" w:rsidRDefault="00E528A2" w:rsidP="00E528A2">
      <w:pPr>
        <w:jc w:val="both"/>
        <w:rPr>
          <w:rFonts w:ascii="Century Gothic" w:hAnsi="Century Gothic"/>
          <w:sz w:val="24"/>
          <w:szCs w:val="24"/>
        </w:rPr>
      </w:pPr>
      <w:r w:rsidRPr="00E528A2">
        <w:rPr>
          <w:rFonts w:ascii="Century Gothic" w:hAnsi="Century Gothic"/>
          <w:b/>
          <w:bCs/>
          <w:sz w:val="24"/>
          <w:szCs w:val="24"/>
        </w:rPr>
        <w:t>CHI</w:t>
      </w:r>
      <w:r w:rsidRPr="00E528A2">
        <w:rPr>
          <w:rFonts w:ascii="Century Gothic" w:hAnsi="Century Gothic"/>
          <w:sz w:val="24"/>
          <w:szCs w:val="24"/>
        </w:rPr>
        <w:br/>
        <w:t>L’elettore dovrà trovarsi nella condizione di presenza all’estero per un periodo minimo di almeno tre mesi nel quale ricade la data di svolgimento della consultazione, si ritiene che la relativa domanda debba ritenersi validamente prodotta ove si dichiari espressamente tale circostanza, ed anche se l’interessato non si trovi all’estero al momento della domanda stessa, purché il periodo previsto e dichiarato di temporanea residenza comprenda la data stabilita per la votazione.</w:t>
      </w:r>
    </w:p>
    <w:p w14:paraId="513F5660" w14:textId="77777777" w:rsidR="00E528A2" w:rsidRPr="00E528A2" w:rsidRDefault="00E528A2" w:rsidP="00E528A2">
      <w:pPr>
        <w:jc w:val="both"/>
        <w:rPr>
          <w:rFonts w:ascii="Century Gothic" w:hAnsi="Century Gothic"/>
          <w:sz w:val="24"/>
          <w:szCs w:val="24"/>
        </w:rPr>
      </w:pPr>
      <w:r w:rsidRPr="00E528A2">
        <w:rPr>
          <w:rFonts w:ascii="Century Gothic" w:hAnsi="Century Gothic"/>
          <w:sz w:val="24"/>
          <w:szCs w:val="24"/>
        </w:rPr>
        <w:t>Si segnala che la legge non richiede il periodo previsto di tre mesi di temporanea residenza all’estero per i familiari conviventi dei temporaneamente all’estero aventi diritto al voto per corrispondenza.</w:t>
      </w:r>
    </w:p>
    <w:p w14:paraId="05E18FB3" w14:textId="77777777" w:rsidR="00E528A2" w:rsidRPr="00E528A2" w:rsidRDefault="00E528A2" w:rsidP="00E528A2">
      <w:pPr>
        <w:jc w:val="both"/>
        <w:rPr>
          <w:rFonts w:ascii="Century Gothic" w:hAnsi="Century Gothic"/>
          <w:sz w:val="24"/>
          <w:szCs w:val="24"/>
        </w:rPr>
      </w:pPr>
      <w:r w:rsidRPr="00E528A2">
        <w:rPr>
          <w:rFonts w:ascii="Century Gothic" w:hAnsi="Century Gothic"/>
          <w:b/>
          <w:bCs/>
          <w:sz w:val="24"/>
          <w:szCs w:val="24"/>
        </w:rPr>
        <w:t>COME</w:t>
      </w:r>
      <w:r w:rsidRPr="00E528A2">
        <w:rPr>
          <w:rFonts w:ascii="Century Gothic" w:hAnsi="Century Gothic"/>
          <w:sz w:val="24"/>
          <w:szCs w:val="24"/>
        </w:rPr>
        <w:br/>
        <w:t>L’opzione potrà pervenire al comune per posta ordinaria o per posta elettronica, anche non certificata, e potrà essere recapitata a mano anche da persona diversa dall’interessato.</w:t>
      </w:r>
      <w:r w:rsidRPr="00E528A2">
        <w:rPr>
          <w:rFonts w:ascii="Century Gothic" w:hAnsi="Century Gothic"/>
          <w:sz w:val="24"/>
          <w:szCs w:val="24"/>
        </w:rPr>
        <w:br/>
        <w:t>Per quanto attiene ai contenuti e alle modalità di inoltro, la dichiarazione di opzione, redatta su carta libera e necessariamente corredata di copia di un documento d’identità valido dell’elettore, deve in ogni caso contenere l’indirizzo postale estero cui va inviato il plico elettorale ed una dichiarazione attestante il possesso dei requisiti di cui al comma 1 del citato art. 4-bis, resa ai sensi degli articoli 46 e 47 del testo unico di cui al decreto del Presidente della Repubblica 28 dicembre 2000, n. 445.</w:t>
      </w:r>
    </w:p>
    <w:p w14:paraId="599D4478" w14:textId="77777777" w:rsidR="00E528A2" w:rsidRDefault="00E528A2" w:rsidP="00E528A2">
      <w:pPr>
        <w:jc w:val="both"/>
        <w:rPr>
          <w:rFonts w:ascii="Century Gothic" w:hAnsi="Century Gothic"/>
          <w:b/>
          <w:bCs/>
          <w:sz w:val="24"/>
          <w:szCs w:val="24"/>
        </w:rPr>
      </w:pPr>
      <w:r w:rsidRPr="00E528A2">
        <w:rPr>
          <w:rFonts w:ascii="Century Gothic" w:hAnsi="Century Gothic"/>
          <w:b/>
          <w:bCs/>
          <w:sz w:val="24"/>
          <w:szCs w:val="24"/>
        </w:rPr>
        <w:t>Specifiche modalità organizzative per il voto di alcune categorie di elettori temporaneamente all’estero (commi 5 e 6 dell’art. 4-bis</w:t>
      </w:r>
    </w:p>
    <w:p w14:paraId="39526BF1" w14:textId="35961480" w:rsidR="00E528A2" w:rsidRPr="00E528A2" w:rsidRDefault="00E528A2" w:rsidP="00E528A2">
      <w:pPr>
        <w:jc w:val="both"/>
        <w:rPr>
          <w:rFonts w:ascii="Century Gothic" w:hAnsi="Century Gothic"/>
          <w:sz w:val="24"/>
          <w:szCs w:val="24"/>
        </w:rPr>
      </w:pPr>
      <w:r w:rsidRPr="00E528A2">
        <w:rPr>
          <w:rFonts w:ascii="Century Gothic" w:hAnsi="Century Gothic"/>
          <w:sz w:val="24"/>
          <w:szCs w:val="24"/>
        </w:rPr>
        <w:t>Con una formale Intesa del 4 dicembre 2015 il Ministero degli affari esteri e della cooperazione internazionale, il Ministero dell’interno ed il Ministero della difesa, in attuazione dell’art. 4-bis, commi 5 e 6, della legge n. 459/2001, hanno definito particolari modalità tecnico-organizzative per il voto degli appartenenti alle Forze armate e di polizia temporaneamente all’estero nello svolgimento di missioni internazionali e, rispettivamente, degli elettori di cui all’articolo 1, comma 9, lettera b), della legge 27 ottobre 1988, n. 470.</w:t>
      </w:r>
    </w:p>
    <w:p w14:paraId="2A03D2F2" w14:textId="77777777" w:rsidR="00E528A2" w:rsidRPr="00E528A2" w:rsidRDefault="00E528A2" w:rsidP="00E528A2">
      <w:pPr>
        <w:jc w:val="both"/>
        <w:rPr>
          <w:rFonts w:ascii="Century Gothic" w:hAnsi="Century Gothic"/>
          <w:sz w:val="24"/>
          <w:szCs w:val="24"/>
        </w:rPr>
      </w:pPr>
      <w:r w:rsidRPr="00E528A2">
        <w:rPr>
          <w:rFonts w:ascii="Century Gothic" w:hAnsi="Century Gothic"/>
          <w:sz w:val="24"/>
          <w:szCs w:val="24"/>
        </w:rPr>
        <w:t>Si ricorda che la legge, ai suddetti commi 5 e 6 dell’art. 4-bis, prevede che tali elettori potranno votare con apposite modalità anche negli Stati ove non è ammesso il voto per corrispondenza per gli elettori ivi residenti.</w:t>
      </w:r>
    </w:p>
    <w:p w14:paraId="6FC051F2" w14:textId="77777777" w:rsidR="00E528A2" w:rsidRPr="00E528A2" w:rsidRDefault="00E528A2" w:rsidP="00E528A2">
      <w:pPr>
        <w:jc w:val="both"/>
        <w:rPr>
          <w:rFonts w:ascii="Century Gothic" w:hAnsi="Century Gothic"/>
          <w:sz w:val="24"/>
          <w:szCs w:val="24"/>
        </w:rPr>
      </w:pPr>
      <w:r w:rsidRPr="00E528A2">
        <w:rPr>
          <w:rFonts w:ascii="Century Gothic" w:hAnsi="Century Gothic"/>
          <w:sz w:val="24"/>
          <w:szCs w:val="24"/>
        </w:rPr>
        <w:lastRenderedPageBreak/>
        <w:t>Alla luce della suddetta Intesa, alcune delle opzioni presentate dagli elettori di cui ai suddetti commi 5 e 6 verranno inviate ai comuni dagli uffici consolari.</w:t>
      </w:r>
    </w:p>
    <w:p w14:paraId="4014AE6B" w14:textId="77777777" w:rsidR="00E528A2" w:rsidRPr="00E528A2" w:rsidRDefault="00E528A2" w:rsidP="00E528A2">
      <w:pPr>
        <w:jc w:val="both"/>
        <w:rPr>
          <w:rFonts w:ascii="Century Gothic" w:hAnsi="Century Gothic"/>
          <w:sz w:val="24"/>
          <w:szCs w:val="24"/>
        </w:rPr>
      </w:pPr>
      <w:r w:rsidRPr="00E528A2">
        <w:rPr>
          <w:rFonts w:ascii="Century Gothic" w:hAnsi="Century Gothic"/>
          <w:sz w:val="24"/>
          <w:szCs w:val="24"/>
        </w:rPr>
        <w:t>Si rappresenta che alcune opzioni potrebbero essere inviate ai comuni direttamente dai Comandi militari.</w:t>
      </w:r>
    </w:p>
    <w:p w14:paraId="02B0F854" w14:textId="77777777" w:rsidR="00015F56" w:rsidRDefault="00015F56"/>
    <w:sectPr w:rsidR="00015F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A2"/>
    <w:rsid w:val="00015F56"/>
    <w:rsid w:val="007269ED"/>
    <w:rsid w:val="00B65701"/>
    <w:rsid w:val="00C00527"/>
    <w:rsid w:val="00E52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97F1"/>
  <w15:chartTrackingRefBased/>
  <w15:docId w15:val="{1210E20B-4397-4C6C-8C49-45B7E73A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528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528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528A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528A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528A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528A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528A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528A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528A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28A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528A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528A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528A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528A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528A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528A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528A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528A2"/>
    <w:rPr>
      <w:rFonts w:eastAsiaTheme="majorEastAsia" w:cstheme="majorBidi"/>
      <w:color w:val="272727" w:themeColor="text1" w:themeTint="D8"/>
    </w:rPr>
  </w:style>
  <w:style w:type="paragraph" w:styleId="Titolo">
    <w:name w:val="Title"/>
    <w:basedOn w:val="Normale"/>
    <w:next w:val="Normale"/>
    <w:link w:val="TitoloCarattere"/>
    <w:uiPriority w:val="10"/>
    <w:qFormat/>
    <w:rsid w:val="00E52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28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528A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528A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528A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528A2"/>
    <w:rPr>
      <w:i/>
      <w:iCs/>
      <w:color w:val="404040" w:themeColor="text1" w:themeTint="BF"/>
    </w:rPr>
  </w:style>
  <w:style w:type="paragraph" w:styleId="Paragrafoelenco">
    <w:name w:val="List Paragraph"/>
    <w:basedOn w:val="Normale"/>
    <w:uiPriority w:val="34"/>
    <w:qFormat/>
    <w:rsid w:val="00E528A2"/>
    <w:pPr>
      <w:ind w:left="720"/>
      <w:contextualSpacing/>
    </w:pPr>
  </w:style>
  <w:style w:type="character" w:styleId="Enfasiintensa">
    <w:name w:val="Intense Emphasis"/>
    <w:basedOn w:val="Carpredefinitoparagrafo"/>
    <w:uiPriority w:val="21"/>
    <w:qFormat/>
    <w:rsid w:val="00E528A2"/>
    <w:rPr>
      <w:i/>
      <w:iCs/>
      <w:color w:val="2F5496" w:themeColor="accent1" w:themeShade="BF"/>
    </w:rPr>
  </w:style>
  <w:style w:type="paragraph" w:styleId="Citazioneintensa">
    <w:name w:val="Intense Quote"/>
    <w:basedOn w:val="Normale"/>
    <w:next w:val="Normale"/>
    <w:link w:val="CitazioneintensaCarattere"/>
    <w:uiPriority w:val="30"/>
    <w:qFormat/>
    <w:rsid w:val="00E52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528A2"/>
    <w:rPr>
      <w:i/>
      <w:iCs/>
      <w:color w:val="2F5496" w:themeColor="accent1" w:themeShade="BF"/>
    </w:rPr>
  </w:style>
  <w:style w:type="character" w:styleId="Riferimentointenso">
    <w:name w:val="Intense Reference"/>
    <w:basedOn w:val="Carpredefinitoparagrafo"/>
    <w:uiPriority w:val="32"/>
    <w:qFormat/>
    <w:rsid w:val="00E52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0969">
      <w:bodyDiv w:val="1"/>
      <w:marLeft w:val="0"/>
      <w:marRight w:val="0"/>
      <w:marTop w:val="0"/>
      <w:marBottom w:val="0"/>
      <w:divBdr>
        <w:top w:val="none" w:sz="0" w:space="0" w:color="auto"/>
        <w:left w:val="none" w:sz="0" w:space="0" w:color="auto"/>
        <w:bottom w:val="none" w:sz="0" w:space="0" w:color="auto"/>
        <w:right w:val="none" w:sz="0" w:space="0" w:color="auto"/>
      </w:divBdr>
    </w:div>
    <w:div w:id="18818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2622</Characters>
  <Application>Microsoft Office Word</Application>
  <DocSecurity>4</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chrappan</dc:creator>
  <cp:keywords/>
  <dc:description/>
  <cp:lastModifiedBy>Licia De Filippi</cp:lastModifiedBy>
  <cp:revision>2</cp:revision>
  <dcterms:created xsi:type="dcterms:W3CDTF">2025-04-17T10:25:00Z</dcterms:created>
  <dcterms:modified xsi:type="dcterms:W3CDTF">2025-04-17T10:25:00Z</dcterms:modified>
</cp:coreProperties>
</file>